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BA" w:rsidRPr="006B18BA" w:rsidRDefault="006B18BA" w:rsidP="006B18BA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00565214"/>
      <w:r w:rsidRPr="006B18B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50B5">
        <w:rPr>
          <w:rFonts w:ascii="Times New Roman" w:hAnsi="Times New Roman" w:cs="Times New Roman"/>
          <w:sz w:val="24"/>
          <w:szCs w:val="24"/>
        </w:rPr>
        <w:t>4</w:t>
      </w:r>
      <w:r w:rsidRPr="006B18BA">
        <w:rPr>
          <w:rFonts w:ascii="Times New Roman" w:hAnsi="Times New Roman" w:cs="Times New Roman"/>
          <w:sz w:val="24"/>
          <w:szCs w:val="24"/>
        </w:rPr>
        <w:t xml:space="preserve"> к Порядку проведения </w:t>
      </w:r>
    </w:p>
    <w:p w:rsidR="006B18BA" w:rsidRPr="006B18BA" w:rsidRDefault="006B18BA" w:rsidP="006B18BA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6B18BA">
        <w:rPr>
          <w:rFonts w:ascii="Times New Roman" w:hAnsi="Times New Roman" w:cs="Times New Roman"/>
          <w:sz w:val="24"/>
          <w:szCs w:val="24"/>
        </w:rPr>
        <w:t>и проверки итогового сочинения (изложения)</w:t>
      </w:r>
    </w:p>
    <w:p w:rsidR="006B18BA" w:rsidRDefault="006B18BA" w:rsidP="006B18BA">
      <w:pPr>
        <w:spacing w:after="0" w:line="240" w:lineRule="auto"/>
        <w:ind w:left="1418"/>
        <w:jc w:val="right"/>
        <w:rPr>
          <w:b/>
          <w:sz w:val="28"/>
          <w:szCs w:val="28"/>
        </w:rPr>
      </w:pPr>
      <w:r w:rsidRPr="006B18BA">
        <w:rPr>
          <w:rFonts w:ascii="Times New Roman" w:hAnsi="Times New Roman" w:cs="Times New Roman"/>
          <w:sz w:val="24"/>
          <w:szCs w:val="24"/>
        </w:rPr>
        <w:t>в Республике Карелия в 2017-2018 учебном году</w:t>
      </w:r>
    </w:p>
    <w:bookmarkEnd w:id="0"/>
    <w:p w:rsidR="006B18BA" w:rsidRPr="006B18BA" w:rsidRDefault="006B18BA" w:rsidP="006B18BA"/>
    <w:p w:rsidR="00BB0D90" w:rsidRPr="00852DD1" w:rsidRDefault="006B18BA" w:rsidP="00A14754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852DD1">
        <w:rPr>
          <w:rFonts w:ascii="Times New Roman" w:hAnsi="Times New Roman"/>
          <w:b/>
          <w:sz w:val="28"/>
          <w:szCs w:val="28"/>
        </w:rPr>
        <w:t>Технический регламент проведения итогового сочинения (изложения)</w:t>
      </w:r>
    </w:p>
    <w:p w:rsidR="0032222B" w:rsidRPr="00A14754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54">
        <w:rPr>
          <w:rFonts w:ascii="Times New Roman" w:hAnsi="Times New Roman" w:cs="Times New Roman"/>
          <w:sz w:val="28"/>
          <w:szCs w:val="28"/>
        </w:rPr>
        <w:t>Настоящи</w:t>
      </w:r>
      <w:r w:rsidR="00A14754" w:rsidRPr="00A14754">
        <w:rPr>
          <w:rFonts w:ascii="Times New Roman" w:hAnsi="Times New Roman" w:cs="Times New Roman"/>
          <w:sz w:val="28"/>
          <w:szCs w:val="28"/>
        </w:rPr>
        <w:t>й</w:t>
      </w:r>
      <w:r w:rsidRPr="00A14754">
        <w:rPr>
          <w:rFonts w:ascii="Times New Roman" w:hAnsi="Times New Roman" w:cs="Times New Roman"/>
          <w:sz w:val="28"/>
          <w:szCs w:val="28"/>
        </w:rPr>
        <w:t xml:space="preserve"> </w:t>
      </w:r>
      <w:r w:rsidR="00A14754" w:rsidRPr="00A14754">
        <w:rPr>
          <w:rFonts w:ascii="Times New Roman" w:hAnsi="Times New Roman"/>
          <w:sz w:val="28"/>
          <w:szCs w:val="28"/>
        </w:rPr>
        <w:t>Технический регламент проведения итогового сочинения (изложения)</w:t>
      </w:r>
      <w:r w:rsidRPr="00A14754">
        <w:rPr>
          <w:rFonts w:ascii="Times New Roman" w:hAnsi="Times New Roman" w:cs="Times New Roman"/>
          <w:sz w:val="28"/>
          <w:szCs w:val="28"/>
        </w:rPr>
        <w:t xml:space="preserve"> </w:t>
      </w:r>
      <w:r w:rsidR="00A14754" w:rsidRPr="00A14754">
        <w:rPr>
          <w:rFonts w:ascii="Times New Roman" w:hAnsi="Times New Roman" w:cs="Times New Roman"/>
          <w:sz w:val="28"/>
          <w:szCs w:val="28"/>
        </w:rPr>
        <w:t xml:space="preserve">(далее – технический регламент) </w:t>
      </w:r>
      <w:r w:rsidRPr="00A14754">
        <w:rPr>
          <w:rFonts w:ascii="Times New Roman" w:hAnsi="Times New Roman" w:cs="Times New Roman"/>
          <w:sz w:val="28"/>
          <w:szCs w:val="28"/>
        </w:rPr>
        <w:t>содерж</w:t>
      </w:r>
      <w:r w:rsidR="00A14754" w:rsidRPr="00A14754">
        <w:rPr>
          <w:rFonts w:ascii="Times New Roman" w:hAnsi="Times New Roman" w:cs="Times New Roman"/>
          <w:sz w:val="28"/>
          <w:szCs w:val="28"/>
        </w:rPr>
        <w:t>и</w:t>
      </w:r>
      <w:r w:rsidRPr="00A14754">
        <w:rPr>
          <w:rFonts w:ascii="Times New Roman" w:hAnsi="Times New Roman" w:cs="Times New Roman"/>
          <w:sz w:val="28"/>
          <w:szCs w:val="28"/>
        </w:rPr>
        <w:t xml:space="preserve">т </w:t>
      </w:r>
      <w:r w:rsidR="00BB0D90" w:rsidRPr="00A14754">
        <w:rPr>
          <w:rFonts w:ascii="Times New Roman" w:hAnsi="Times New Roman" w:cs="Times New Roman"/>
          <w:sz w:val="28"/>
          <w:szCs w:val="28"/>
        </w:rPr>
        <w:t>описание:</w:t>
      </w:r>
    </w:p>
    <w:p w:rsidR="0032222B" w:rsidRPr="00A14754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754">
        <w:rPr>
          <w:rFonts w:ascii="Times New Roman" w:hAnsi="Times New Roman" w:cs="Times New Roman"/>
          <w:sz w:val="28"/>
          <w:szCs w:val="28"/>
        </w:rPr>
        <w:t>требовани</w:t>
      </w:r>
      <w:r w:rsidR="005560E0" w:rsidRPr="00A14754">
        <w:rPr>
          <w:rFonts w:ascii="Times New Roman" w:hAnsi="Times New Roman" w:cs="Times New Roman"/>
          <w:sz w:val="28"/>
          <w:szCs w:val="28"/>
        </w:rPr>
        <w:t>й</w:t>
      </w:r>
      <w:r w:rsidRPr="00A14754">
        <w:rPr>
          <w:rFonts w:ascii="Times New Roman" w:hAnsi="Times New Roman" w:cs="Times New Roman"/>
          <w:sz w:val="28"/>
          <w:szCs w:val="28"/>
        </w:rPr>
        <w:t xml:space="preserve"> к программно-аппаратному обеспечению на региональном, муниципальном уровнях и </w:t>
      </w:r>
      <w:r w:rsidR="00EF5E9B" w:rsidRPr="00A14754">
        <w:rPr>
          <w:rFonts w:ascii="Times New Roman" w:hAnsi="Times New Roman" w:cs="Times New Roman"/>
          <w:sz w:val="28"/>
          <w:szCs w:val="28"/>
        </w:rPr>
        <w:t xml:space="preserve">на </w:t>
      </w:r>
      <w:r w:rsidRPr="00A14754">
        <w:rPr>
          <w:rFonts w:ascii="Times New Roman" w:hAnsi="Times New Roman" w:cs="Times New Roman"/>
          <w:sz w:val="28"/>
          <w:szCs w:val="28"/>
        </w:rPr>
        <w:t>уровне образовательных организаций;</w:t>
      </w:r>
      <w:proofErr w:type="gramEnd"/>
    </w:p>
    <w:p w:rsidR="0032222B" w:rsidRPr="00A14754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754">
        <w:rPr>
          <w:rFonts w:ascii="Times New Roman" w:hAnsi="Times New Roman" w:cs="Times New Roman"/>
          <w:sz w:val="28"/>
          <w:szCs w:val="28"/>
        </w:rPr>
        <w:t>архитектур</w:t>
      </w:r>
      <w:r w:rsidR="005560E0" w:rsidRPr="00A14754">
        <w:rPr>
          <w:rFonts w:ascii="Times New Roman" w:hAnsi="Times New Roman" w:cs="Times New Roman"/>
          <w:sz w:val="28"/>
          <w:szCs w:val="28"/>
        </w:rPr>
        <w:t>ы</w:t>
      </w:r>
      <w:r w:rsidRPr="00A14754">
        <w:rPr>
          <w:rFonts w:ascii="Times New Roman" w:hAnsi="Times New Roman" w:cs="Times New Roman"/>
          <w:sz w:val="28"/>
          <w:szCs w:val="28"/>
        </w:rPr>
        <w:t xml:space="preserve"> и соста</w:t>
      </w:r>
      <w:bookmarkStart w:id="1" w:name="_GoBack"/>
      <w:bookmarkEnd w:id="1"/>
      <w:r w:rsidRPr="00A14754">
        <w:rPr>
          <w:rFonts w:ascii="Times New Roman" w:hAnsi="Times New Roman" w:cs="Times New Roman"/>
          <w:sz w:val="28"/>
          <w:szCs w:val="28"/>
        </w:rPr>
        <w:t>в</w:t>
      </w:r>
      <w:r w:rsidR="005560E0" w:rsidRPr="00A14754">
        <w:rPr>
          <w:rFonts w:ascii="Times New Roman" w:hAnsi="Times New Roman" w:cs="Times New Roman"/>
          <w:sz w:val="28"/>
          <w:szCs w:val="28"/>
        </w:rPr>
        <w:t>а</w:t>
      </w:r>
      <w:r w:rsidRPr="00A14754">
        <w:rPr>
          <w:rFonts w:ascii="Times New Roman" w:hAnsi="Times New Roman" w:cs="Times New Roman"/>
          <w:sz w:val="28"/>
          <w:szCs w:val="28"/>
        </w:rPr>
        <w:t xml:space="preserve"> программного обеспечения на региональном, муниципальном уровнях и </w:t>
      </w:r>
      <w:r w:rsidR="00EF5E9B" w:rsidRPr="00A14754">
        <w:rPr>
          <w:rFonts w:ascii="Times New Roman" w:hAnsi="Times New Roman" w:cs="Times New Roman"/>
          <w:sz w:val="28"/>
          <w:szCs w:val="28"/>
        </w:rPr>
        <w:t xml:space="preserve">на </w:t>
      </w:r>
      <w:r w:rsidRPr="00A14754">
        <w:rPr>
          <w:rFonts w:ascii="Times New Roman" w:hAnsi="Times New Roman" w:cs="Times New Roman"/>
          <w:sz w:val="28"/>
          <w:szCs w:val="28"/>
        </w:rPr>
        <w:t>уровне образовательных организаций;</w:t>
      </w:r>
      <w:proofErr w:type="gramEnd"/>
    </w:p>
    <w:p w:rsidR="0032222B" w:rsidRPr="00A14754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54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5560E0" w:rsidRPr="00A14754">
        <w:rPr>
          <w:rFonts w:ascii="Times New Roman" w:hAnsi="Times New Roman" w:cs="Times New Roman"/>
          <w:sz w:val="28"/>
          <w:szCs w:val="28"/>
        </w:rPr>
        <w:t>го</w:t>
      </w:r>
      <w:r w:rsidRPr="00A14754">
        <w:rPr>
          <w:rFonts w:ascii="Times New Roman" w:hAnsi="Times New Roman" w:cs="Times New Roman"/>
          <w:sz w:val="28"/>
          <w:szCs w:val="28"/>
        </w:rPr>
        <w:t xml:space="preserve"> оснащени</w:t>
      </w:r>
      <w:r w:rsidR="005560E0" w:rsidRPr="00A14754">
        <w:rPr>
          <w:rFonts w:ascii="Times New Roman" w:hAnsi="Times New Roman" w:cs="Times New Roman"/>
          <w:sz w:val="28"/>
          <w:szCs w:val="28"/>
        </w:rPr>
        <w:t>я</w:t>
      </w:r>
      <w:r w:rsidRPr="00A14754">
        <w:rPr>
          <w:rFonts w:ascii="Times New Roman" w:hAnsi="Times New Roman" w:cs="Times New Roman"/>
          <w:sz w:val="28"/>
          <w:szCs w:val="28"/>
        </w:rPr>
        <w:t xml:space="preserve"> на региональном, муниципальном </w:t>
      </w:r>
      <w:proofErr w:type="gramStart"/>
      <w:r w:rsidRPr="00A14754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A14754">
        <w:rPr>
          <w:rFonts w:ascii="Times New Roman" w:hAnsi="Times New Roman" w:cs="Times New Roman"/>
          <w:sz w:val="28"/>
          <w:szCs w:val="28"/>
        </w:rPr>
        <w:t xml:space="preserve"> и уров</w:t>
      </w:r>
      <w:bookmarkStart w:id="2" w:name="_Toc231713686"/>
      <w:bookmarkStart w:id="3" w:name="_Toc305752563"/>
      <w:bookmarkStart w:id="4" w:name="_Toc307487889"/>
      <w:bookmarkStart w:id="5" w:name="_Toc383949005"/>
      <w:bookmarkStart w:id="6" w:name="_Toc399943932"/>
      <w:bookmarkStart w:id="7" w:name="_Toc431386288"/>
      <w:r w:rsidR="00516303" w:rsidRPr="00A14754">
        <w:rPr>
          <w:rFonts w:ascii="Times New Roman" w:hAnsi="Times New Roman" w:cs="Times New Roman"/>
          <w:sz w:val="28"/>
          <w:szCs w:val="28"/>
        </w:rPr>
        <w:t>не образовательных организаций.</w:t>
      </w:r>
    </w:p>
    <w:bookmarkEnd w:id="2"/>
    <w:bookmarkEnd w:id="3"/>
    <w:bookmarkEnd w:id="4"/>
    <w:bookmarkEnd w:id="5"/>
    <w:bookmarkEnd w:id="6"/>
    <w:bookmarkEnd w:id="7"/>
    <w:p w:rsidR="00BB0D90" w:rsidRPr="00A14754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54">
        <w:rPr>
          <w:rFonts w:ascii="Times New Roman" w:hAnsi="Times New Roman" w:cs="Times New Roman"/>
          <w:sz w:val="28"/>
          <w:szCs w:val="28"/>
        </w:rPr>
        <w:t>В следующей таблице приведен перечень используемых в документе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 w:rsidRPr="00A14754">
        <w:rPr>
          <w:rFonts w:ascii="Times New Roman" w:hAnsi="Times New Roman" w:cs="Times New Roman"/>
          <w:sz w:val="28"/>
          <w:szCs w:val="28"/>
        </w:rPr>
        <w:t>сокращений и условных обозначений</w:t>
      </w:r>
      <w:r w:rsidR="00A1475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3"/>
      </w:tblGrid>
      <w:tr w:rsidR="00BB0D90" w:rsidRPr="007C1195" w:rsidTr="00A14754">
        <w:trPr>
          <w:tblHeader/>
        </w:trPr>
        <w:tc>
          <w:tcPr>
            <w:tcW w:w="990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4010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A14754">
        <w:trPr>
          <w:trHeight w:val="170"/>
        </w:trPr>
        <w:tc>
          <w:tcPr>
            <w:tcW w:w="99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8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4010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A14754">
        <w:trPr>
          <w:trHeight w:val="197"/>
        </w:trPr>
        <w:tc>
          <w:tcPr>
            <w:tcW w:w="99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4010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A14754">
        <w:trPr>
          <w:trHeight w:val="197"/>
        </w:trPr>
        <w:tc>
          <w:tcPr>
            <w:tcW w:w="99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401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A14754">
        <w:trPr>
          <w:trHeight w:val="197"/>
        </w:trPr>
        <w:tc>
          <w:tcPr>
            <w:tcW w:w="99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401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A14754">
        <w:trPr>
          <w:trHeight w:val="197"/>
        </w:trPr>
        <w:tc>
          <w:tcPr>
            <w:tcW w:w="99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401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A14754">
        <w:trPr>
          <w:trHeight w:val="197"/>
        </w:trPr>
        <w:tc>
          <w:tcPr>
            <w:tcW w:w="99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401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A14754">
        <w:trPr>
          <w:trHeight w:val="197"/>
        </w:trPr>
        <w:tc>
          <w:tcPr>
            <w:tcW w:w="99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401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A14754">
        <w:trPr>
          <w:trHeight w:val="197"/>
        </w:trPr>
        <w:tc>
          <w:tcPr>
            <w:tcW w:w="99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401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A14754">
        <w:trPr>
          <w:trHeight w:val="197"/>
        </w:trPr>
        <w:tc>
          <w:tcPr>
            <w:tcW w:w="99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401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A14754">
        <w:trPr>
          <w:trHeight w:val="197"/>
        </w:trPr>
        <w:tc>
          <w:tcPr>
            <w:tcW w:w="99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401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A14754">
        <w:trPr>
          <w:trHeight w:val="197"/>
        </w:trPr>
        <w:tc>
          <w:tcPr>
            <w:tcW w:w="99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4010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9" w:name="_Toc494819261"/>
      <w:bookmarkEnd w:id="8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9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571052169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0" w:name="_Toc49481926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0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1" w:name="_Toc494819263"/>
      <w:r w:rsidRPr="007C1195">
        <w:rPr>
          <w:sz w:val="26"/>
          <w:szCs w:val="26"/>
        </w:rPr>
        <w:t>Региональный уровень</w:t>
      </w:r>
      <w:bookmarkEnd w:id="11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tabs>
                <w:tab w:val="left" w:pos="0"/>
              </w:tabs>
              <w:spacing w:before="0" w:after="0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tabs>
                <w:tab w:val="left" w:pos="0"/>
              </w:tabs>
              <w:spacing w:before="0" w:after="0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tabs>
                <w:tab w:val="left" w:pos="0"/>
              </w:tabs>
              <w:spacing w:before="0" w:after="0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tabs>
                <w:tab w:val="left" w:pos="0"/>
              </w:tabs>
              <w:spacing w:before="0" w:after="0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1C49F0">
            <w:pPr>
              <w:pStyle w:val="a9"/>
              <w:keepNext w:val="0"/>
              <w:tabs>
                <w:tab w:val="left" w:pos="0"/>
              </w:tabs>
              <w:spacing w:before="0" w:after="0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1C49F0">
            <w:pPr>
              <w:pStyle w:val="a9"/>
              <w:keepNext w:val="0"/>
              <w:tabs>
                <w:tab w:val="left" w:pos="0"/>
              </w:tabs>
              <w:spacing w:before="0" w:after="0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tabs>
                <w:tab w:val="left" w:pos="0"/>
              </w:tabs>
              <w:spacing w:before="0" w:after="0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tabs>
                <w:tab w:val="left" w:pos="0"/>
              </w:tabs>
              <w:spacing w:before="0" w:after="0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1C49F0">
            <w:pPr>
              <w:pStyle w:val="a9"/>
              <w:tabs>
                <w:tab w:val="left" w:pos="0"/>
              </w:tabs>
              <w:spacing w:before="0" w:after="0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1C49F0">
            <w:pPr>
              <w:pStyle w:val="a9"/>
              <w:tabs>
                <w:tab w:val="left" w:pos="0"/>
              </w:tabs>
              <w:spacing w:before="0" w:after="0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1C49F0">
            <w:pPr>
              <w:pStyle w:val="a9"/>
              <w:tabs>
                <w:tab w:val="left" w:pos="0"/>
              </w:tabs>
              <w:spacing w:before="0" w:after="0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tabs>
                <w:tab w:val="left" w:pos="0"/>
              </w:tabs>
              <w:spacing w:before="0" w:after="0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1C49F0">
            <w:pPr>
              <w:keepNext/>
              <w:tabs>
                <w:tab w:val="left" w:pos="0"/>
              </w:tabs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1C49F0">
            <w:pPr>
              <w:keepNext/>
              <w:tabs>
                <w:tab w:val="left" w:pos="0"/>
              </w:tabs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1C49F0">
            <w:pPr>
              <w:keepNext/>
              <w:tabs>
                <w:tab w:val="left" w:pos="0"/>
              </w:tabs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1C49F0">
            <w:pPr>
              <w:keepNext/>
              <w:tabs>
                <w:tab w:val="left" w:pos="0"/>
              </w:tabs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tabs>
                <w:tab w:val="left" w:pos="0"/>
              </w:tabs>
              <w:spacing w:before="0" w:after="0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tabs>
                <w:tab w:val="left" w:pos="0"/>
              </w:tabs>
              <w:spacing w:before="0" w:after="0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1C49F0">
            <w:pPr>
              <w:pStyle w:val="a9"/>
              <w:tabs>
                <w:tab w:val="right" w:pos="2727"/>
              </w:tabs>
              <w:spacing w:before="0" w:after="0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1C49F0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852DD1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852DD1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852DD1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852DD1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1C49F0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1C49F0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1C49F0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1C49F0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2" w:name="_Toc494819264"/>
      <w:r w:rsidRPr="007C1195">
        <w:rPr>
          <w:sz w:val="26"/>
          <w:szCs w:val="26"/>
        </w:rPr>
        <w:t>Муниципальный уровень</w:t>
      </w:r>
      <w:bookmarkEnd w:id="12"/>
    </w:p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1C49F0" w:rsidRDefault="001C49F0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9F0" w:rsidRDefault="001C49F0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9F0" w:rsidRDefault="001C49F0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9F0" w:rsidRDefault="001C49F0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9F0" w:rsidRPr="005560E0" w:rsidRDefault="001C49F0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1C49F0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1C49F0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1C49F0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1C49F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1C49F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1C49F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1C49F0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</w:t>
            </w:r>
            <w:r w:rsidR="001C49F0">
              <w:rPr>
                <w:b w:val="0"/>
                <w:sz w:val="26"/>
                <w:szCs w:val="26"/>
              </w:rPr>
              <w:t xml:space="preserve">/100 </w:t>
            </w:r>
            <w:r w:rsidRPr="007C1195">
              <w:rPr>
                <w:b w:val="0"/>
                <w:sz w:val="26"/>
                <w:szCs w:val="26"/>
              </w:rPr>
              <w:t>Мбит</w:t>
            </w:r>
          </w:p>
        </w:tc>
      </w:tr>
    </w:tbl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1C49F0">
            <w:pPr>
              <w:pStyle w:val="a9"/>
              <w:tabs>
                <w:tab w:val="right" w:pos="2727"/>
              </w:tabs>
              <w:spacing w:before="0" w:after="0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1C49F0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852DD1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852DD1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852DD1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1C49F0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1C49F0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1C49F0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1C49F0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3" w:name="_Toc494819265"/>
      <w:r w:rsidRPr="007C1195">
        <w:rPr>
          <w:sz w:val="26"/>
          <w:szCs w:val="26"/>
        </w:rPr>
        <w:t>Уровень образовательных организаций</w:t>
      </w:r>
      <w:bookmarkEnd w:id="13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1C49F0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1C49F0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1C49F0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1C49F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1C49F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1C49F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1C49F0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</w:t>
            </w:r>
            <w:r w:rsidR="001C49F0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1C49F0">
            <w:pPr>
              <w:pStyle w:val="a9"/>
              <w:tabs>
                <w:tab w:val="right" w:pos="2727"/>
              </w:tabs>
              <w:spacing w:before="0" w:after="0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1C49F0">
            <w:pPr>
              <w:pStyle w:val="a9"/>
              <w:spacing w:before="0" w:after="0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852DD1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852DD1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852DD1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1C49F0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1C49F0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1C49F0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1C49F0">
            <w:pPr>
              <w:pStyle w:val="a9"/>
              <w:keepNext w:val="0"/>
              <w:numPr>
                <w:ilvl w:val="0"/>
                <w:numId w:val="13"/>
              </w:numPr>
              <w:spacing w:before="0" w:after="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1C49F0">
            <w:pPr>
              <w:pStyle w:val="a9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14" w:name="_Toc494819266"/>
      <w:r w:rsidRPr="007C1195">
        <w:rPr>
          <w:sz w:val="26"/>
          <w:szCs w:val="26"/>
        </w:rPr>
        <w:lastRenderedPageBreak/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14"/>
    </w:p>
    <w:p w:rsidR="00CD6C98" w:rsidRPr="007C1195" w:rsidRDefault="00CD6C98" w:rsidP="001C49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1C49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1C49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1C49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1C49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1C49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CD6C98" w:rsidRDefault="00CD6C98" w:rsidP="001C49F0">
      <w:pPr>
        <w:pStyle w:val="af9"/>
        <w:spacing w:after="0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983"/>
      </w:tblGrid>
      <w:tr w:rsidR="00CA3087" w:rsidRPr="007C1195" w:rsidTr="00A91B3A">
        <w:trPr>
          <w:trHeight w:val="255"/>
        </w:trPr>
        <w:tc>
          <w:tcPr>
            <w:tcW w:w="3360" w:type="dxa"/>
            <w:noWrap/>
          </w:tcPr>
          <w:p w:rsidR="00CA3087" w:rsidRPr="007C1195" w:rsidRDefault="00CA3087" w:rsidP="00A91B3A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1983" w:type="dxa"/>
            <w:noWrap/>
          </w:tcPr>
          <w:p w:rsidR="00CA3087" w:rsidRPr="007C1195" w:rsidRDefault="00CA3087" w:rsidP="00A91B3A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A3087" w:rsidRPr="007C1195" w:rsidTr="00A91B3A">
        <w:trPr>
          <w:trHeight w:val="255"/>
        </w:trPr>
        <w:tc>
          <w:tcPr>
            <w:tcW w:w="3360" w:type="dxa"/>
            <w:noWrap/>
            <w:vAlign w:val="center"/>
            <w:hideMark/>
          </w:tcPr>
          <w:p w:rsidR="00CA3087" w:rsidRPr="007C1195" w:rsidRDefault="00CA3087" w:rsidP="00A91B3A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1983" w:type="dxa"/>
            <w:noWrap/>
            <w:hideMark/>
          </w:tcPr>
          <w:p w:rsidR="00CA3087" w:rsidRPr="007C1195" w:rsidRDefault="00CA3087" w:rsidP="00A91B3A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A3087" w:rsidRPr="007C1195" w:rsidTr="00A91B3A">
        <w:trPr>
          <w:trHeight w:val="255"/>
        </w:trPr>
        <w:tc>
          <w:tcPr>
            <w:tcW w:w="3360" w:type="dxa"/>
            <w:noWrap/>
            <w:vAlign w:val="center"/>
            <w:hideMark/>
          </w:tcPr>
          <w:p w:rsidR="00CA3087" w:rsidRPr="007C1195" w:rsidRDefault="00CA3087" w:rsidP="00A91B3A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1983" w:type="dxa"/>
            <w:noWrap/>
            <w:hideMark/>
          </w:tcPr>
          <w:p w:rsidR="00CA3087" w:rsidRPr="007C1195" w:rsidRDefault="00CA3087" w:rsidP="00A91B3A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</w:tr>
      <w:tr w:rsidR="00CA3087" w:rsidRPr="007C1195" w:rsidTr="00A91B3A">
        <w:trPr>
          <w:trHeight w:val="255"/>
        </w:trPr>
        <w:tc>
          <w:tcPr>
            <w:tcW w:w="3360" w:type="dxa"/>
            <w:noWrap/>
            <w:vAlign w:val="center"/>
          </w:tcPr>
          <w:p w:rsidR="00CA3087" w:rsidRPr="007C1195" w:rsidRDefault="00CA3087" w:rsidP="00A91B3A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A3087" w:rsidRPr="007C1195" w:rsidRDefault="00CA3087" w:rsidP="00A91B3A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CA3087" w:rsidRPr="007C1195" w:rsidTr="00A91B3A">
        <w:trPr>
          <w:trHeight w:val="255"/>
        </w:trPr>
        <w:tc>
          <w:tcPr>
            <w:tcW w:w="3360" w:type="dxa"/>
            <w:noWrap/>
            <w:vAlign w:val="center"/>
            <w:hideMark/>
          </w:tcPr>
          <w:p w:rsidR="00CA3087" w:rsidRPr="007C1195" w:rsidRDefault="00CA3087" w:rsidP="00A91B3A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  <w:tc>
          <w:tcPr>
            <w:tcW w:w="1983" w:type="dxa"/>
            <w:vAlign w:val="center"/>
          </w:tcPr>
          <w:p w:rsidR="00CA3087" w:rsidRPr="007C1195" w:rsidRDefault="00CA3087" w:rsidP="00A91B3A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CA3087" w:rsidRPr="007C1195" w:rsidTr="00A91B3A">
        <w:trPr>
          <w:trHeight w:val="255"/>
        </w:trPr>
        <w:tc>
          <w:tcPr>
            <w:tcW w:w="3360" w:type="dxa"/>
            <w:noWrap/>
            <w:vAlign w:val="center"/>
            <w:hideMark/>
          </w:tcPr>
          <w:p w:rsidR="00CA3087" w:rsidRPr="007C1195" w:rsidRDefault="00CA3087" w:rsidP="00A91B3A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A3087" w:rsidRPr="007C1195" w:rsidRDefault="00CA3087" w:rsidP="00A91B3A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A3087" w:rsidRPr="007C1195" w:rsidRDefault="00CA3087" w:rsidP="00A91B3A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</w:tr>
      <w:tr w:rsidR="00CA3087" w:rsidRPr="007C1195" w:rsidTr="00A91B3A">
        <w:trPr>
          <w:trHeight w:val="255"/>
        </w:trPr>
        <w:tc>
          <w:tcPr>
            <w:tcW w:w="3360" w:type="dxa"/>
            <w:noWrap/>
            <w:vAlign w:val="center"/>
            <w:hideMark/>
          </w:tcPr>
          <w:p w:rsidR="00CA3087" w:rsidRPr="007C1195" w:rsidRDefault="00CA3087" w:rsidP="00A91B3A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A3087" w:rsidRPr="007C1195" w:rsidRDefault="00CA3087" w:rsidP="00A91B3A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1C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15" w:name="_Toc494819267"/>
      <w:r w:rsidRPr="007C1195">
        <w:rPr>
          <w:sz w:val="26"/>
          <w:szCs w:val="26"/>
        </w:rPr>
        <w:t>Требования к материальному оснащению</w:t>
      </w:r>
      <w:bookmarkEnd w:id="15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sectPr w:rsidR="00CD6C98" w:rsidRPr="004937B8" w:rsidSect="00322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74" w:rsidRDefault="00C14B74" w:rsidP="000D788E">
      <w:pPr>
        <w:spacing w:after="0" w:line="240" w:lineRule="auto"/>
      </w:pPr>
      <w:r>
        <w:separator/>
      </w:r>
    </w:p>
  </w:endnote>
  <w:endnote w:type="continuationSeparator" w:id="0">
    <w:p w:rsidR="00C14B74" w:rsidRDefault="00C14B74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DD1">
          <w:rPr>
            <w:noProof/>
          </w:rPr>
          <w:t>2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74" w:rsidRDefault="00C14B74" w:rsidP="000D788E">
      <w:pPr>
        <w:spacing w:after="0" w:line="240" w:lineRule="auto"/>
      </w:pPr>
      <w:r>
        <w:separator/>
      </w:r>
    </w:p>
  </w:footnote>
  <w:footnote w:type="continuationSeparator" w:id="0">
    <w:p w:rsidR="00C14B74" w:rsidRDefault="00C14B74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0F11A1"/>
    <w:rsid w:val="00133C64"/>
    <w:rsid w:val="001B0251"/>
    <w:rsid w:val="001C49F0"/>
    <w:rsid w:val="001D74D7"/>
    <w:rsid w:val="001F55B7"/>
    <w:rsid w:val="00220AF4"/>
    <w:rsid w:val="00230CBF"/>
    <w:rsid w:val="002333EE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B18BA"/>
    <w:rsid w:val="006D4254"/>
    <w:rsid w:val="006F0859"/>
    <w:rsid w:val="006F5011"/>
    <w:rsid w:val="00721377"/>
    <w:rsid w:val="0072304C"/>
    <w:rsid w:val="00726B75"/>
    <w:rsid w:val="007350B5"/>
    <w:rsid w:val="00740A37"/>
    <w:rsid w:val="0074461A"/>
    <w:rsid w:val="00762437"/>
    <w:rsid w:val="007C1195"/>
    <w:rsid w:val="007C6704"/>
    <w:rsid w:val="007D1AAE"/>
    <w:rsid w:val="007D6258"/>
    <w:rsid w:val="007E033A"/>
    <w:rsid w:val="007E0D68"/>
    <w:rsid w:val="008148CA"/>
    <w:rsid w:val="008406CF"/>
    <w:rsid w:val="008470A8"/>
    <w:rsid w:val="008521C3"/>
    <w:rsid w:val="00852DD1"/>
    <w:rsid w:val="008607ED"/>
    <w:rsid w:val="0088407A"/>
    <w:rsid w:val="00886E1F"/>
    <w:rsid w:val="008C0D20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14754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14B74"/>
    <w:rsid w:val="00C5397C"/>
    <w:rsid w:val="00CA3087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DB8"/>
    <w:rsid w:val="00DF1F6A"/>
    <w:rsid w:val="00E50A29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8986D-52BE-42B5-8B6A-DDE7A00F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егэ</cp:lastModifiedBy>
  <cp:revision>34</cp:revision>
  <cp:lastPrinted>2016-10-07T13:49:00Z</cp:lastPrinted>
  <dcterms:created xsi:type="dcterms:W3CDTF">2016-09-22T14:47:00Z</dcterms:created>
  <dcterms:modified xsi:type="dcterms:W3CDTF">2017-11-01T11:36:00Z</dcterms:modified>
</cp:coreProperties>
</file>